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type="auto" w:w="0"/>
        <w:jc w:val="center"/>
        <w:tblLook w:firstColumn="1" w:firstRow="1" w:lastColumn="0" w:lastRow="0" w:noHBand="0" w:noVBand="1" w:val="04A0"/>
      </w:tblPr>
      <w:tblGrid>
        <w:gridCol w:w="7200"/>
        <w:gridCol w:w="1800"/>
      </w:tblGrid>
      <w:tr>
        <w:tc>
          <w:tcPr>
            <w:tcW w:type="dxa" w:w="5184"/>
            <w:vAlign w:val="center"/>
          </w:tcPr>
          <w:p>
            <w:r>
              <w:rPr>
                <w:b/>
                <w:color w:val="0C2340"/>
                <w:sz w:val="44"/>
              </w:rPr>
              <w:t>Henry Bory Prevez</w:t>
            </w:r>
          </w:p>
          <w:p>
            <w:r>
              <w:rPr>
                <w:color w:val="464646"/>
                <w:sz w:val="20"/>
              </w:rPr>
              <w:t>Professor · Doktor der Wissenschaften in Automatisierung</w:t>
            </w:r>
          </w:p>
          <w:p>
            <w:r>
              <w:rPr>
                <w:b/>
                <w:color w:val="195A96"/>
                <w:sz w:val="22"/>
              </w:rPr>
              <w:t>Vollständiger akademischer Lebenslauf</w:t>
            </w:r>
          </w:p>
        </w:tc>
        <w:tc>
          <w:tcPr>
            <w:tcW w:type="dxa" w:w="5184"/>
            <w:vAlign w:val="center"/>
          </w:tcPr>
          <w:p>
            <w:pPr>
              <w:jc w:val="right"/>
            </w:pPr>
            <w:r>
              <w:drawing>
                <wp:inline xmlns:a="http://schemas.openxmlformats.org/drawingml/2006/main" xmlns:pic="http://schemas.openxmlformats.org/drawingml/2006/picture">
                  <wp:extent cx="1051560" cy="989945"/>
                  <wp:docPr id="1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hbp-cv-photo-official-v01.pn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1560" cy="989945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r>
        <w:t>Universidad de Oriente · Santiago de Cuba</w:t>
      </w:r>
    </w:p>
    <w:p>
      <w:r>
        <w:t>Deutsch · Funktionale Übersetzung für internationale Sichtbarkeit; vor offizieller institutioneller Nutzung prüfen.</w:t>
      </w:r>
    </w:p>
    <w:p>
      <w:r>
        <w:rPr>
          <w:b/>
          <w:color w:val="123456"/>
          <w:sz w:val="26"/>
        </w:rPr>
        <w:t>Profil</w:t>
      </w:r>
    </w:p>
    <w:p>
      <w:r>
        <w:t>Professor an der Universidad de Oriente mit Arbeit in Automatisierung, Leistungselektronik, fortgeschrittener Regelung, erneuerbaren Energien, Mikro-Wasserkraft, OTEC, Wellenenergie, wissenschaftlicher Software und angewandter mathematischer Modellierung.</w:t>
      </w:r>
    </w:p>
    <w:p>
      <w:r>
        <w:rPr>
          <w:b/>
          <w:color w:val="123456"/>
          <w:sz w:val="26"/>
        </w:rPr>
        <w:t>Fachgebiete</w:t>
      </w:r>
    </w:p>
    <w:p>
      <w:pPr>
        <w:pStyle w:val="ListBullet"/>
      </w:pPr>
      <w:r>
        <w:rPr>
          <w:sz w:val="20"/>
        </w:rPr>
        <w:t>Automatisierung, fortgeschrittene Regelung und Leistungselektronik.</w:t>
      </w:r>
    </w:p>
    <w:p>
      <w:pPr>
        <w:pStyle w:val="ListBullet"/>
      </w:pPr>
      <w:r>
        <w:rPr>
          <w:sz w:val="20"/>
        </w:rPr>
        <w:t>Mikro-Wasserkraft, Pelton-Turbinenkontexte und isolierte Mikronetze.</w:t>
      </w:r>
    </w:p>
    <w:p>
      <w:pPr>
        <w:pStyle w:val="ListBullet"/>
      </w:pPr>
      <w:r>
        <w:rPr>
          <w:sz w:val="20"/>
        </w:rPr>
        <w:t>OTEC-Systeme, Meeresenergie und Wellenenergie.</w:t>
      </w:r>
    </w:p>
    <w:p>
      <w:pPr>
        <w:pStyle w:val="ListBullet"/>
      </w:pPr>
      <w:r>
        <w:rPr>
          <w:sz w:val="20"/>
        </w:rPr>
        <w:t>MATLAB/Simulink, Python, Octave, Arduino und virtuelle Labore.</w:t>
      </w:r>
    </w:p>
    <w:p>
      <w:pPr>
        <w:pStyle w:val="ListBullet"/>
      </w:pPr>
      <w:r>
        <w:rPr>
          <w:sz w:val="20"/>
        </w:rPr>
        <w:t>Computergestützte Biophysik, mathematische Onkologie und Modellierung komplexer Systeme.</w:t>
      </w:r>
    </w:p>
    <w:p>
      <w:r>
        <w:rPr>
          <w:b/>
          <w:color w:val="123456"/>
          <w:sz w:val="26"/>
        </w:rPr>
        <w:t>Publikationen und Ergebnisse</w:t>
      </w:r>
    </w:p>
    <w:p>
      <w:pPr>
        <w:pStyle w:val="ListBullet"/>
      </w:pPr>
      <w:r>
        <w:rPr>
          <w:sz w:val="20"/>
        </w:rPr>
        <w:t>Publikationen über Umrichter, Mikro-Wasserkraft, OTEC, Meeresenergie und computergestützte Modellierung.</w:t>
      </w:r>
    </w:p>
    <w:p>
      <w:pPr>
        <w:pStyle w:val="ListBullet"/>
      </w:pPr>
      <w:r>
        <w:rPr>
          <w:sz w:val="20"/>
        </w:rPr>
        <w:t>Interdisziplinäre Arbeit in computergestützter Biophysik und mathematischer Onkologie.</w:t>
      </w:r>
    </w:p>
    <w:p>
      <w:pPr>
        <w:pStyle w:val="ListBullet"/>
      </w:pPr>
      <w:r>
        <w:rPr>
          <w:sz w:val="20"/>
        </w:rPr>
        <w:t>Bildungssoftware, virtuelle Labore und MATLAB/Simulink-Werkzeuge.</w:t>
      </w:r>
    </w:p>
    <w:p>
      <w:r>
        <w:rPr>
          <w:b/>
          <w:color w:val="123456"/>
          <w:sz w:val="26"/>
        </w:rPr>
        <w:t>Software und Projekte</w:t>
      </w:r>
    </w:p>
    <w:p>
      <w:pPr>
        <w:pStyle w:val="ListBullet"/>
      </w:pPr>
      <w:r>
        <w:rPr>
          <w:sz w:val="20"/>
        </w:rPr>
        <w:t>Niord v.1.0 / Niord0150-01-2022</w:t>
      </w:r>
    </w:p>
    <w:p>
      <w:pPr>
        <w:pStyle w:val="ListBullet"/>
      </w:pPr>
      <w:r>
        <w:rPr>
          <w:sz w:val="20"/>
        </w:rPr>
        <w:t>AnaRed V1.0</w:t>
      </w:r>
    </w:p>
    <w:p>
      <w:pPr>
        <w:pStyle w:val="ListBullet"/>
      </w:pPr>
      <w:r>
        <w:rPr>
          <w:sz w:val="20"/>
        </w:rPr>
        <w:t>TabPer V1.0</w:t>
      </w:r>
    </w:p>
    <w:p>
      <w:pPr>
        <w:pStyle w:val="ListBullet"/>
      </w:pPr>
      <w:r>
        <w:rPr>
          <w:sz w:val="20"/>
        </w:rPr>
        <w:t>Cal_Arr_Fre V1.0</w:t>
      </w:r>
    </w:p>
    <w:p>
      <w:pPr>
        <w:pStyle w:val="ListBullet"/>
      </w:pPr>
      <w:r>
        <w:rPr>
          <w:sz w:val="20"/>
        </w:rPr>
        <w:t>Calc_Covid19 V.1.0</w:t>
      </w:r>
    </w:p>
    <w:p>
      <w:r>
        <w:rPr>
          <w:b/>
          <w:color w:val="123456"/>
          <w:sz w:val="26"/>
        </w:rPr>
        <w:t>Akademische Struktur</w:t>
      </w:r>
    </w:p>
    <w:p>
      <w:pPr>
        <w:pStyle w:val="ListBullet"/>
      </w:pPr>
      <w:r>
        <w:rPr>
          <w:sz w:val="20"/>
        </w:rPr>
        <w:t>Ausbildung und akademische Positionen</w:t>
      </w:r>
    </w:p>
    <w:p>
      <w:pPr>
        <w:pStyle w:val="ListBullet"/>
      </w:pPr>
      <w:r>
        <w:rPr>
          <w:sz w:val="20"/>
        </w:rPr>
        <w:t>Lehre und Betreuung</w:t>
      </w:r>
    </w:p>
    <w:p>
      <w:pPr>
        <w:pStyle w:val="ListBullet"/>
      </w:pPr>
      <w:r>
        <w:rPr>
          <w:sz w:val="20"/>
        </w:rPr>
        <w:t>Publikationen und Konferenzbeiträge</w:t>
      </w:r>
    </w:p>
    <w:p>
      <w:pPr>
        <w:pStyle w:val="ListBullet"/>
      </w:pPr>
      <w:r>
        <w:rPr>
          <w:sz w:val="20"/>
        </w:rPr>
        <w:t>Forschungsprojekte und Software</w:t>
      </w:r>
    </w:p>
    <w:p>
      <w:pPr>
        <w:pStyle w:val="ListBullet"/>
      </w:pPr>
      <w:r>
        <w:rPr>
          <w:sz w:val="20"/>
        </w:rPr>
        <w:t>Fachlicher Service und Kooperationsbereiche</w:t>
      </w:r>
    </w:p>
    <w:p/>
    <w:p>
      <w:r>
        <w:rPr>
          <w:i/>
          <w:color w:val="5A5A5A"/>
          <w:sz w:val="16"/>
        </w:rPr>
        <w:t>Funktionale Übersetzung für internationale Sichtbarkeit; vor offizieller institutioneller Nutzung prüfen.</w:t>
      </w:r>
    </w:p>
    <w:sectPr w:rsidR="00FC693F" w:rsidRPr="0006063C" w:rsidSect="00034616">
      <w:pgSz w:w="12240" w:h="15840"/>
      <w:pgMar w:top="792" w:right="936" w:bottom="792" w:left="93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  <w:rPr>
      <w:rFonts w:ascii="Arial" w:hAnsi="Arial"/>
      <w:sz w:val="20"/>
    </w:rPr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