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type="auto" w:w="0"/>
        <w:jc w:val="center"/>
        <w:tblLook w:firstColumn="1" w:firstRow="1" w:lastColumn="0" w:lastRow="0" w:noHBand="0" w:noVBand="1" w:val="04A0"/>
      </w:tblPr>
      <w:tblGrid>
        <w:gridCol w:w="7200"/>
        <w:gridCol w:w="1800"/>
      </w:tblGrid>
      <w:tr>
        <w:tc>
          <w:tcPr>
            <w:tcW w:type="dxa" w:w="5184"/>
            <w:vAlign w:val="center"/>
          </w:tcPr>
          <w:p>
            <w:r>
              <w:rPr>
                <w:b/>
                <w:color w:val="0C2340"/>
                <w:sz w:val="44"/>
              </w:rPr>
              <w:t>Henry Bory Prevez</w:t>
            </w:r>
          </w:p>
          <w:p>
            <w:r>
              <w:rPr>
                <w:color w:val="464646"/>
                <w:sz w:val="20"/>
              </w:rPr>
              <w:t>Full Professor · Doctor of Sciences in Automatic Control</w:t>
            </w:r>
          </w:p>
          <w:p>
            <w:r>
              <w:rPr>
                <w:b/>
                <w:color w:val="195A96"/>
                <w:sz w:val="22"/>
              </w:rPr>
              <w:t>Full academic CV</w:t>
            </w:r>
          </w:p>
        </w:tc>
        <w:tc>
          <w:tcPr>
            <w:tcW w:type="dxa" w:w="5184"/>
            <w:vAlign w:val="center"/>
          </w:tcPr>
          <w:p>
            <w:pPr>
              <w:jc w:val="right"/>
            </w:pPr>
            <w:r>
              <w:drawing>
                <wp:inline xmlns:a="http://schemas.openxmlformats.org/drawingml/2006/main" xmlns:pic="http://schemas.openxmlformats.org/drawingml/2006/picture">
                  <wp:extent cx="1051560" cy="989945"/>
                  <wp:docPr id="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hbp-cv-photo-official-v01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560" cy="98994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r>
        <w:t>Universidad de Oriente · Santiago de Cuba</w:t>
      </w:r>
    </w:p>
    <w:p>
      <w:r>
        <w:t>English · Functional translation for international visibility; review before official institutional use.</w:t>
      </w:r>
    </w:p>
    <w:p>
      <w:r>
        <w:rPr>
          <w:b/>
          <w:color w:val="123456"/>
          <w:sz w:val="26"/>
        </w:rPr>
        <w:t>Profile</w:t>
      </w:r>
    </w:p>
    <w:p>
      <w:r>
        <w:t>Full Professor at Universidad de Oriente with work in automatic control, power electronics, advanced control, renewable energy, micro-hydropower, OTEC, wave energy, scientific software and applied mathematical modelling.</w:t>
      </w:r>
    </w:p>
    <w:p>
      <w:r>
        <w:rPr>
          <w:b/>
          <w:color w:val="123456"/>
          <w:sz w:val="26"/>
        </w:rPr>
        <w:t>Areas of expertise</w:t>
      </w:r>
    </w:p>
    <w:p>
      <w:pPr>
        <w:pStyle w:val="ListBullet"/>
      </w:pPr>
      <w:r>
        <w:rPr>
          <w:sz w:val="20"/>
        </w:rPr>
        <w:t>Automatic control, advanced control and power electronics.</w:t>
      </w:r>
    </w:p>
    <w:p>
      <w:pPr>
        <w:pStyle w:val="ListBullet"/>
      </w:pPr>
      <w:r>
        <w:rPr>
          <w:sz w:val="20"/>
        </w:rPr>
        <w:t>Micro-hydropower, Pelton turbine contexts and isolated microgrids.</w:t>
      </w:r>
    </w:p>
    <w:p>
      <w:pPr>
        <w:pStyle w:val="ListBullet"/>
      </w:pPr>
      <w:r>
        <w:rPr>
          <w:sz w:val="20"/>
        </w:rPr>
        <w:t>OTEC systems, ocean energy and wave energy.</w:t>
      </w:r>
    </w:p>
    <w:p>
      <w:pPr>
        <w:pStyle w:val="ListBullet"/>
      </w:pPr>
      <w:r>
        <w:rPr>
          <w:sz w:val="20"/>
        </w:rPr>
        <w:t>MATLAB/Simulink, Python, Octave, Arduino and virtual laboratories.</w:t>
      </w:r>
    </w:p>
    <w:p>
      <w:pPr>
        <w:pStyle w:val="ListBullet"/>
      </w:pPr>
      <w:r>
        <w:rPr>
          <w:sz w:val="20"/>
        </w:rPr>
        <w:t>Computational biophysics, mathematical oncology and complex systems modelling.</w:t>
      </w:r>
    </w:p>
    <w:p>
      <w:r>
        <w:rPr>
          <w:b/>
          <w:color w:val="123456"/>
          <w:sz w:val="26"/>
        </w:rPr>
        <w:t>Publications and outputs</w:t>
      </w:r>
    </w:p>
    <w:p>
      <w:pPr>
        <w:pStyle w:val="ListBullet"/>
      </w:pPr>
      <w:r>
        <w:rPr>
          <w:sz w:val="20"/>
        </w:rPr>
        <w:t>IFAC-PapersOnLine and energy conversion structures for micro-hydropower contexts.</w:t>
      </w:r>
    </w:p>
    <w:p>
      <w:pPr>
        <w:pStyle w:val="ListBullet"/>
      </w:pPr>
      <w:r>
        <w:rPr>
          <w:sz w:val="20"/>
        </w:rPr>
        <w:t>Royal Society Open Science 2022: computational modelling in tumour growth and charge density.</w:t>
      </w:r>
    </w:p>
    <w:p>
      <w:pPr>
        <w:pStyle w:val="ListBullet"/>
      </w:pPr>
      <w:r>
        <w:rPr>
          <w:sz w:val="20"/>
        </w:rPr>
        <w:t>Educational software, virtual laboratories and MATLAB/Simulink-based resources.</w:t>
      </w:r>
    </w:p>
    <w:p>
      <w:r>
        <w:rPr>
          <w:b/>
          <w:color w:val="123456"/>
          <w:sz w:val="26"/>
        </w:rPr>
        <w:t>Software and projects</w:t>
      </w:r>
    </w:p>
    <w:p>
      <w:pPr>
        <w:pStyle w:val="ListBullet"/>
      </w:pPr>
      <w:r>
        <w:rPr>
          <w:sz w:val="20"/>
        </w:rPr>
        <w:t>Niord v.1.0 / Niord0150-01-2022</w:t>
      </w:r>
    </w:p>
    <w:p>
      <w:pPr>
        <w:pStyle w:val="ListBullet"/>
      </w:pPr>
      <w:r>
        <w:rPr>
          <w:sz w:val="20"/>
        </w:rPr>
        <w:t>AnaRed V1.0</w:t>
      </w:r>
    </w:p>
    <w:p>
      <w:pPr>
        <w:pStyle w:val="ListBullet"/>
      </w:pPr>
      <w:r>
        <w:rPr>
          <w:sz w:val="20"/>
        </w:rPr>
        <w:t>TabPer V1.0</w:t>
      </w:r>
    </w:p>
    <w:p>
      <w:pPr>
        <w:pStyle w:val="ListBullet"/>
      </w:pPr>
      <w:r>
        <w:rPr>
          <w:sz w:val="20"/>
        </w:rPr>
        <w:t>Cal_Arr_Fre V1.0</w:t>
      </w:r>
    </w:p>
    <w:p>
      <w:pPr>
        <w:pStyle w:val="ListBullet"/>
      </w:pPr>
      <w:r>
        <w:rPr>
          <w:sz w:val="20"/>
        </w:rPr>
        <w:t>Calc_Covid19 V.1.0</w:t>
      </w:r>
    </w:p>
    <w:p>
      <w:r>
        <w:rPr>
          <w:b/>
          <w:color w:val="123456"/>
          <w:sz w:val="26"/>
        </w:rPr>
        <w:t>Academic structure</w:t>
      </w:r>
    </w:p>
    <w:p>
      <w:pPr>
        <w:pStyle w:val="ListBullet"/>
      </w:pPr>
      <w:r>
        <w:rPr>
          <w:sz w:val="20"/>
        </w:rPr>
        <w:t>Education and academic appointments</w:t>
      </w:r>
    </w:p>
    <w:p>
      <w:pPr>
        <w:pStyle w:val="ListBullet"/>
      </w:pPr>
      <w:r>
        <w:rPr>
          <w:sz w:val="20"/>
        </w:rPr>
        <w:t>Teaching and supervision</w:t>
      </w:r>
    </w:p>
    <w:p>
      <w:pPr>
        <w:pStyle w:val="ListBullet"/>
      </w:pPr>
      <w:r>
        <w:rPr>
          <w:sz w:val="20"/>
        </w:rPr>
        <w:t>Publications and conference outputs</w:t>
      </w:r>
    </w:p>
    <w:p>
      <w:pPr>
        <w:pStyle w:val="ListBullet"/>
      </w:pPr>
      <w:r>
        <w:rPr>
          <w:sz w:val="20"/>
        </w:rPr>
        <w:t>Research projects and software</w:t>
      </w:r>
    </w:p>
    <w:p>
      <w:pPr>
        <w:pStyle w:val="ListBullet"/>
      </w:pPr>
      <w:r>
        <w:rPr>
          <w:sz w:val="20"/>
        </w:rPr>
        <w:t>Professional service and collaboration areas</w:t>
      </w:r>
    </w:p>
    <w:p/>
    <w:p>
      <w:r>
        <w:rPr>
          <w:i/>
          <w:color w:val="5A5A5A"/>
          <w:sz w:val="16"/>
        </w:rPr>
        <w:t>Functional translation for international visibility; review before official institutional use.</w:t>
      </w:r>
    </w:p>
    <w:sectPr w:rsidR="00FC693F" w:rsidRPr="0006063C" w:rsidSect="00034616">
      <w:pgSz w:w="12240" w:h="15840"/>
      <w:pgMar w:top="792" w:right="936" w:bottom="792" w:left="93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Arial" w:hAnsi="Arial"/>
      <w:sz w:val="20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