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Full Professor · Doctor of Sciences in Automatic Control</w:t>
            </w:r>
          </w:p>
          <w:p>
            <w:r>
              <w:rPr>
                <w:b/>
                <w:color w:val="195A96"/>
                <w:sz w:val="22"/>
              </w:rPr>
              <w:t>International executive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English · Functional translation for international visibility; review before official institutional use.</w:t>
      </w:r>
    </w:p>
    <w:p>
      <w:r>
        <w:rPr>
          <w:b/>
          <w:color w:val="123456"/>
          <w:sz w:val="26"/>
        </w:rPr>
        <w:t>Profile</w:t>
      </w:r>
    </w:p>
    <w:p>
      <w:r>
        <w:t>Full Professor at Universidad de Oriente with work in automatic control, power electronics, advanced control, renewable energy, micro-hydropower, OTEC, wave energy, scientific software and applied mathematical modelling.</w:t>
      </w:r>
    </w:p>
    <w:p>
      <w:r>
        <w:rPr>
          <w:b/>
          <w:color w:val="123456"/>
          <w:sz w:val="26"/>
        </w:rPr>
        <w:t>Areas of expertise</w:t>
      </w:r>
    </w:p>
    <w:p>
      <w:pPr>
        <w:pStyle w:val="ListBullet"/>
      </w:pPr>
      <w:r>
        <w:rPr>
          <w:sz w:val="20"/>
        </w:rPr>
        <w:t>Automatic control, advanced control and power electronics.</w:t>
      </w:r>
    </w:p>
    <w:p>
      <w:pPr>
        <w:pStyle w:val="ListBullet"/>
      </w:pPr>
      <w:r>
        <w:rPr>
          <w:sz w:val="20"/>
        </w:rPr>
        <w:t>Micro-hydropower, Pelton turbine contexts and isolated microgrids.</w:t>
      </w:r>
    </w:p>
    <w:p>
      <w:pPr>
        <w:pStyle w:val="ListBullet"/>
      </w:pPr>
      <w:r>
        <w:rPr>
          <w:sz w:val="20"/>
        </w:rPr>
        <w:t>OTEC systems, ocean energy and wave energy.</w:t>
      </w:r>
    </w:p>
    <w:p>
      <w:pPr>
        <w:pStyle w:val="ListBullet"/>
      </w:pPr>
      <w:r>
        <w:rPr>
          <w:sz w:val="20"/>
        </w:rPr>
        <w:t>MATLAB/Simulink, Python, Octave, Arduino and virtual laboratories.</w:t>
      </w:r>
    </w:p>
    <w:p>
      <w:pPr>
        <w:pStyle w:val="ListBullet"/>
      </w:pPr>
      <w:r>
        <w:rPr>
          <w:sz w:val="20"/>
        </w:rPr>
        <w:t>Computational biophysics, mathematical oncology and complex systems modelling.</w:t>
      </w:r>
    </w:p>
    <w:p>
      <w:r>
        <w:rPr>
          <w:b/>
          <w:color w:val="123456"/>
          <w:sz w:val="26"/>
        </w:rPr>
        <w:t>Publications and outputs</w:t>
      </w:r>
    </w:p>
    <w:p>
      <w:pPr>
        <w:pStyle w:val="ListBullet"/>
      </w:pPr>
      <w:r>
        <w:rPr>
          <w:sz w:val="20"/>
        </w:rPr>
        <w:t>IFAC-PapersOnLine and energy conversion structures for micro-hydropower contexts.</w:t>
      </w:r>
    </w:p>
    <w:p>
      <w:pPr>
        <w:pStyle w:val="ListBullet"/>
      </w:pPr>
      <w:r>
        <w:rPr>
          <w:sz w:val="20"/>
        </w:rPr>
        <w:t>Royal Society Open Science 2022: computational modelling in tumour growth and charge density.</w:t>
      </w:r>
    </w:p>
    <w:p>
      <w:pPr>
        <w:pStyle w:val="ListBullet"/>
      </w:pPr>
      <w:r>
        <w:rPr>
          <w:sz w:val="20"/>
        </w:rPr>
        <w:t>Educational software, virtual laboratories and MATLAB/Simulink-based resources.</w:t>
      </w:r>
    </w:p>
    <w:p>
      <w:r>
        <w:rPr>
          <w:b/>
          <w:color w:val="123456"/>
          <w:sz w:val="26"/>
        </w:rPr>
        <w:t>Software and projects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Functional translation for international visibility; review before official institutional use.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