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Professeur titulaire · Docteur en sciences en automatique</w:t>
            </w:r>
          </w:p>
          <w:p>
            <w:r>
              <w:rPr>
                <w:b/>
                <w:color w:val="195A96"/>
                <w:sz w:val="22"/>
              </w:rPr>
              <w:t>CV académique complet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Français · Traduction fonctionnelle pour visibilité internationale ; à relire avant usage institutionnel officiel.</w:t>
      </w:r>
    </w:p>
    <w:p>
      <w:r>
        <w:rPr>
          <w:b/>
          <w:color w:val="123456"/>
          <w:sz w:val="26"/>
        </w:rPr>
        <w:t>Profil</w:t>
      </w:r>
    </w:p>
    <w:p>
      <w:r>
        <w:t>Professeur titulaire à l’Universidad de Oriente, actif en automatique, électronique de puissance, contrôle avancé, énergies renouvelables, micro-hydroélectricité, OTEC, énergie houlomotrice, logiciels scientifiques et modélisation mathématique appliquée.</w:t>
      </w:r>
    </w:p>
    <w:p>
      <w:r>
        <w:rPr>
          <w:b/>
          <w:color w:val="123456"/>
          <w:sz w:val="26"/>
        </w:rPr>
        <w:t>Domaines d’expertise</w:t>
      </w:r>
    </w:p>
    <w:p>
      <w:pPr>
        <w:pStyle w:val="ListBullet"/>
      </w:pPr>
      <w:r>
        <w:rPr>
          <w:sz w:val="20"/>
        </w:rPr>
        <w:t>Automatique, contrôle avancé et électronique de puissance.</w:t>
      </w:r>
    </w:p>
    <w:p>
      <w:pPr>
        <w:pStyle w:val="ListBullet"/>
      </w:pPr>
      <w:r>
        <w:rPr>
          <w:sz w:val="20"/>
        </w:rPr>
        <w:t>Micro-hydroélectricité, contexte de turbine Pelton et microréseaux isolés.</w:t>
      </w:r>
    </w:p>
    <w:p>
      <w:pPr>
        <w:pStyle w:val="ListBullet"/>
      </w:pPr>
      <w:r>
        <w:rPr>
          <w:sz w:val="20"/>
        </w:rPr>
        <w:t>Systèmes OTEC, énergie océanique et énergie houlomotrice.</w:t>
      </w:r>
    </w:p>
    <w:p>
      <w:pPr>
        <w:pStyle w:val="ListBullet"/>
      </w:pPr>
      <w:r>
        <w:rPr>
          <w:sz w:val="20"/>
        </w:rPr>
        <w:t>MATLAB/Simulink, Python, Octave, Arduino et laboratoires virtuels.</w:t>
      </w:r>
    </w:p>
    <w:p>
      <w:pPr>
        <w:pStyle w:val="ListBullet"/>
      </w:pPr>
      <w:r>
        <w:rPr>
          <w:sz w:val="20"/>
        </w:rPr>
        <w:t>Biophysique computationnelle, oncologie mathématique et modélisation de systèmes complexes.</w:t>
      </w:r>
    </w:p>
    <w:p>
      <w:r>
        <w:rPr>
          <w:b/>
          <w:color w:val="123456"/>
          <w:sz w:val="26"/>
        </w:rPr>
        <w:t>Publications et résultats</w:t>
      </w:r>
    </w:p>
    <w:p>
      <w:pPr>
        <w:pStyle w:val="ListBullet"/>
      </w:pPr>
      <w:r>
        <w:rPr>
          <w:sz w:val="20"/>
        </w:rPr>
        <w:t>Publications sur les convertisseurs, la micro-hydroélectricité, l’OTEC, l’énergie océanique et la modélisation computationnelle.</w:t>
      </w:r>
    </w:p>
    <w:p>
      <w:pPr>
        <w:pStyle w:val="ListBullet"/>
      </w:pPr>
      <w:r>
        <w:rPr>
          <w:sz w:val="20"/>
        </w:rPr>
        <w:t>Travail interdisciplinaire en biophysique computationnelle et oncologie mathématique.</w:t>
      </w:r>
    </w:p>
    <w:p>
      <w:pPr>
        <w:pStyle w:val="ListBullet"/>
      </w:pPr>
      <w:r>
        <w:rPr>
          <w:sz w:val="20"/>
        </w:rPr>
        <w:t>Logiciels éducatifs, laboratoires virtuels et outils MATLAB/Simulink.</w:t>
      </w:r>
    </w:p>
    <w:p>
      <w:r>
        <w:rPr>
          <w:b/>
          <w:color w:val="123456"/>
          <w:sz w:val="26"/>
        </w:rPr>
        <w:t>Logiciels et projets</w:t>
      </w:r>
    </w:p>
    <w:p>
      <w:pPr>
        <w:pStyle w:val="ListBullet"/>
      </w:pPr>
      <w:r>
        <w:rPr>
          <w:sz w:val="20"/>
        </w:rPr>
        <w:t>Niord v.1.0 / Niord0150-01-2022</w:t>
      </w:r>
    </w:p>
    <w:p>
      <w:pPr>
        <w:pStyle w:val="ListBullet"/>
      </w:pPr>
      <w:r>
        <w:rPr>
          <w:sz w:val="20"/>
        </w:rPr>
        <w:t>AnaRed V1.0</w:t>
      </w:r>
    </w:p>
    <w:p>
      <w:pPr>
        <w:pStyle w:val="ListBullet"/>
      </w:pPr>
      <w:r>
        <w:rPr>
          <w:sz w:val="20"/>
        </w:rPr>
        <w:t>TabPer V1.0</w:t>
      </w:r>
    </w:p>
    <w:p>
      <w:pPr>
        <w:pStyle w:val="ListBullet"/>
      </w:pPr>
      <w:r>
        <w:rPr>
          <w:sz w:val="20"/>
        </w:rPr>
        <w:t>Cal_Arr_Fre V1.0</w:t>
      </w:r>
    </w:p>
    <w:p>
      <w:pPr>
        <w:pStyle w:val="ListBullet"/>
      </w:pPr>
      <w:r>
        <w:rPr>
          <w:sz w:val="20"/>
        </w:rPr>
        <w:t>Calc_Covid19 V.1.0</w:t>
      </w:r>
    </w:p>
    <w:p>
      <w:r>
        <w:rPr>
          <w:b/>
          <w:color w:val="123456"/>
          <w:sz w:val="26"/>
        </w:rPr>
        <w:t>Structure académique</w:t>
      </w:r>
    </w:p>
    <w:p>
      <w:pPr>
        <w:pStyle w:val="ListBullet"/>
      </w:pPr>
      <w:r>
        <w:rPr>
          <w:sz w:val="20"/>
        </w:rPr>
        <w:t>Formation et fonctions académiques</w:t>
      </w:r>
    </w:p>
    <w:p>
      <w:pPr>
        <w:pStyle w:val="ListBullet"/>
      </w:pPr>
      <w:r>
        <w:rPr>
          <w:sz w:val="20"/>
        </w:rPr>
        <w:t>Enseignement et encadrement</w:t>
      </w:r>
    </w:p>
    <w:p>
      <w:pPr>
        <w:pStyle w:val="ListBullet"/>
      </w:pPr>
      <w:r>
        <w:rPr>
          <w:sz w:val="20"/>
        </w:rPr>
        <w:t>Publications et contributions à des conférences</w:t>
      </w:r>
    </w:p>
    <w:p>
      <w:pPr>
        <w:pStyle w:val="ListBullet"/>
      </w:pPr>
      <w:r>
        <w:rPr>
          <w:sz w:val="20"/>
        </w:rPr>
        <w:t>Projets de recherche et logiciels</w:t>
      </w:r>
    </w:p>
    <w:p>
      <w:pPr>
        <w:pStyle w:val="ListBullet"/>
      </w:pPr>
      <w:r>
        <w:rPr>
          <w:sz w:val="20"/>
        </w:rPr>
        <w:t>Service professionnel et domaines de collaboration</w:t>
      </w:r>
    </w:p>
    <w:p/>
    <w:p>
      <w:r>
        <w:rPr>
          <w:i/>
          <w:color w:val="5A5A5A"/>
          <w:sz w:val="16"/>
        </w:rPr>
        <w:t>Traduction fonctionnelle pour visibilité internationale ; à relire avant usage institutionnel officiel.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