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Professor · Doktor der Wissenschaften in Automatisierung</w:t>
            </w:r>
          </w:p>
          <w:p>
            <w:r>
              <w:rPr>
                <w:b/>
                <w:color w:val="195A96"/>
                <w:sz w:val="22"/>
              </w:rPr>
              <w:t>Professionelles Dossier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Deutsch · Funktionale Übersetzung für internationale Sichtbarkeit; vor offizieller institutioneller Nutzung prüfen.</w:t>
      </w:r>
    </w:p>
    <w:p>
      <w:r>
        <w:rPr>
          <w:b/>
          <w:color w:val="123456"/>
          <w:sz w:val="26"/>
        </w:rPr>
        <w:t>Profil</w:t>
      </w:r>
    </w:p>
    <w:p>
      <w:r>
        <w:t>Professor an der Universidad de Oriente mit Arbeit in Automatisierung, Leistungselektronik, fortgeschrittener Regelung, erneuerbaren Energien, Mikro-Wasserkraft, OTEC, Wellenenergie, wissenschaftlicher Software und angewandter mathematischer Modellierung.</w:t>
      </w:r>
    </w:p>
    <w:p>
      <w:r>
        <w:rPr>
          <w:b/>
          <w:color w:val="123456"/>
          <w:sz w:val="26"/>
        </w:rPr>
        <w:t>Fachgebiete</w:t>
      </w:r>
    </w:p>
    <w:p>
      <w:pPr>
        <w:pStyle w:val="ListBullet"/>
      </w:pPr>
      <w:r>
        <w:rPr>
          <w:sz w:val="20"/>
        </w:rPr>
        <w:t>Automatisierung, fortgeschrittene Regelung und Leistungselektronik.</w:t>
      </w:r>
    </w:p>
    <w:p>
      <w:pPr>
        <w:pStyle w:val="ListBullet"/>
      </w:pPr>
      <w:r>
        <w:rPr>
          <w:sz w:val="20"/>
        </w:rPr>
        <w:t>Mikro-Wasserkraft, Pelton-Turbinenkontexte und isolierte Mikronetze.</w:t>
      </w:r>
    </w:p>
    <w:p>
      <w:pPr>
        <w:pStyle w:val="ListBullet"/>
      </w:pPr>
      <w:r>
        <w:rPr>
          <w:sz w:val="20"/>
        </w:rPr>
        <w:t>OTEC-Systeme, Meeresenergie und Wellenenergie.</w:t>
      </w:r>
    </w:p>
    <w:p>
      <w:pPr>
        <w:pStyle w:val="ListBullet"/>
      </w:pPr>
      <w:r>
        <w:rPr>
          <w:sz w:val="20"/>
        </w:rPr>
        <w:t>MATLAB/Simulink, Python, Octave, Arduino und virtuelle Labore.</w:t>
      </w:r>
    </w:p>
    <w:p>
      <w:pPr>
        <w:pStyle w:val="ListBullet"/>
      </w:pPr>
      <w:r>
        <w:rPr>
          <w:sz w:val="20"/>
        </w:rPr>
        <w:t>Computergestützte Biophysik, mathematische Onkologie und Modellierung komplexer Systeme.</w:t>
      </w:r>
    </w:p>
    <w:p>
      <w:r>
        <w:rPr>
          <w:b/>
          <w:color w:val="123456"/>
          <w:sz w:val="26"/>
        </w:rPr>
        <w:t>Publikationen und Ergebnisse</w:t>
      </w:r>
    </w:p>
    <w:p>
      <w:pPr>
        <w:pStyle w:val="ListBullet"/>
      </w:pPr>
      <w:r>
        <w:rPr>
          <w:sz w:val="20"/>
        </w:rPr>
        <w:t>Publikationen über Umrichter, Mikro-Wasserkraft, OTEC, Meeresenergie und computergestützte Modellierung.</w:t>
      </w:r>
    </w:p>
    <w:p>
      <w:pPr>
        <w:pStyle w:val="ListBullet"/>
      </w:pPr>
      <w:r>
        <w:rPr>
          <w:sz w:val="20"/>
        </w:rPr>
        <w:t>Interdisziplinäre Arbeit in computergestützter Biophysik und mathematischer Onkologie.</w:t>
      </w:r>
    </w:p>
    <w:p>
      <w:pPr>
        <w:pStyle w:val="ListBullet"/>
      </w:pPr>
      <w:r>
        <w:rPr>
          <w:sz w:val="20"/>
        </w:rPr>
        <w:t>Bildungssoftware, virtuelle Labore und MATLAB/Simulink-Werkzeuge.</w:t>
      </w:r>
    </w:p>
    <w:p>
      <w:r>
        <w:rPr>
          <w:b/>
          <w:color w:val="123456"/>
          <w:sz w:val="26"/>
        </w:rPr>
        <w:t>Software und Projekte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>
      <w:r>
        <w:rPr>
          <w:b/>
          <w:color w:val="123456"/>
          <w:sz w:val="26"/>
        </w:rPr>
        <w:t>Institutionelle Positionierung</w:t>
      </w:r>
    </w:p>
    <w:p>
      <w:r>
        <w:t>Dieses Dossier fasst das akademische und technologische Profil für institutionelle Präsentation, Kooperation und internationale Sichtbarkeit zusammen. Es sollte vor offizieller Nutzung gemeinsam mit der Evidenzmatrix geprüft werden.</w:t>
      </w:r>
    </w:p>
    <w:p/>
    <w:p>
      <w:r>
        <w:rPr>
          <w:i/>
          <w:color w:val="5A5A5A"/>
          <w:sz w:val="16"/>
        </w:rPr>
        <w:t>Funktionale Übersetzung für internationale Sichtbarkeit; vor offizieller institutioneller Nutzung prüfen.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